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</w:t>
      </w:r>
      <w:r w:rsidR="00327FD5">
        <w:rPr>
          <w:rFonts w:ascii="Open Sans Light" w:hAnsi="Open Sans Light" w:cs="Open Sans Light"/>
          <w:sz w:val="20"/>
          <w:szCs w:val="20"/>
        </w:rPr>
        <w:t>3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2A0FE4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2A0FE4">
        <w:rPr>
          <w:rFonts w:ascii="Open Sans Light" w:hAnsi="Open Sans Light" w:cs="Open Sans Light"/>
          <w:sz w:val="20"/>
          <w:szCs w:val="20"/>
        </w:rPr>
        <w:t>S</w:t>
      </w:r>
      <w:r>
        <w:rPr>
          <w:rFonts w:ascii="Open Sans Light" w:hAnsi="Open Sans Light" w:cs="Open Sans Light"/>
          <w:sz w:val="20"/>
          <w:szCs w:val="20"/>
        </w:rPr>
        <w:t>.</w:t>
      </w:r>
      <w:r w:rsidRPr="002A0FE4">
        <w:rPr>
          <w:rFonts w:ascii="Open Sans Light" w:hAnsi="Open Sans Light" w:cs="Open Sans Light"/>
          <w:sz w:val="20"/>
          <w:szCs w:val="20"/>
        </w:rPr>
        <w:t xml:space="preserve">S. </w:t>
      </w:r>
      <w:r w:rsidR="00327FD5">
        <w:rPr>
          <w:rFonts w:ascii="Open Sans Light" w:hAnsi="Open Sans Light" w:cs="Open Sans Light"/>
          <w:sz w:val="20"/>
          <w:szCs w:val="20"/>
        </w:rPr>
        <w:t>1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327FD5">
        <w:rPr>
          <w:rFonts w:ascii="Open Sans Light" w:hAnsi="Open Sans Light" w:cs="Open Sans Light"/>
          <w:sz w:val="20"/>
          <w:szCs w:val="20"/>
        </w:rPr>
        <w:t>Aurelia</w:t>
      </w:r>
      <w:r w:rsidR="007535F6">
        <w:rPr>
          <w:rFonts w:ascii="Open Sans Light" w:hAnsi="Open Sans Light" w:cs="Open Sans Light"/>
          <w:sz w:val="20"/>
          <w:szCs w:val="20"/>
        </w:rPr>
        <w:t xml:space="preserve"> - </w:t>
      </w:r>
      <w:r>
        <w:rPr>
          <w:rFonts w:ascii="Open Sans Light" w:hAnsi="Open Sans Light" w:cs="Open Sans Light"/>
          <w:sz w:val="20"/>
          <w:szCs w:val="20"/>
        </w:rPr>
        <w:t xml:space="preserve">S.S. </w:t>
      </w:r>
      <w:r w:rsidR="00327FD5">
        <w:rPr>
          <w:rFonts w:ascii="Open Sans Light" w:hAnsi="Open Sans Light" w:cs="Open Sans Light"/>
          <w:sz w:val="20"/>
          <w:szCs w:val="20"/>
        </w:rPr>
        <w:t>675 Umbro Laziale</w:t>
      </w:r>
      <w:r w:rsidR="007535F6">
        <w:rPr>
          <w:rFonts w:ascii="Open Sans Light" w:hAnsi="Open Sans Light" w:cs="Open Sans Light"/>
          <w:sz w:val="20"/>
          <w:szCs w:val="20"/>
        </w:rPr>
        <w:t xml:space="preserve"> – S.S.</w:t>
      </w:r>
      <w:r w:rsidR="00327FD5">
        <w:rPr>
          <w:rFonts w:ascii="Open Sans Light" w:hAnsi="Open Sans Light" w:cs="Open Sans Light"/>
          <w:sz w:val="20"/>
          <w:szCs w:val="20"/>
        </w:rPr>
        <w:t xml:space="preserve"> 1 bis Aurelia </w:t>
      </w:r>
      <w:r w:rsidR="007535F6">
        <w:rPr>
          <w:rFonts w:ascii="Open Sans Light" w:hAnsi="Open Sans Light" w:cs="Open Sans Light"/>
          <w:sz w:val="20"/>
          <w:szCs w:val="20"/>
        </w:rPr>
        <w:t xml:space="preserve">– </w:t>
      </w:r>
      <w:r w:rsidR="00327FD5">
        <w:rPr>
          <w:rFonts w:ascii="Open Sans Light" w:hAnsi="Open Sans Light" w:cs="Open Sans Light"/>
          <w:sz w:val="20"/>
          <w:szCs w:val="20"/>
        </w:rPr>
        <w:t xml:space="preserve">S.S. 698 del Porto di Civitavecchia </w:t>
      </w:r>
      <w:r w:rsidR="00327FD5">
        <w:rPr>
          <w:rFonts w:ascii="Open Sans Light" w:hAnsi="Open Sans Light" w:cs="Open Sans Light"/>
          <w:sz w:val="20"/>
          <w:szCs w:val="20"/>
        </w:rPr>
        <w:t xml:space="preserve">(Provincia di Roma e </w:t>
      </w:r>
      <w:r w:rsidR="00327FD5">
        <w:rPr>
          <w:rFonts w:ascii="Open Sans Light" w:hAnsi="Open Sans Light" w:cs="Open Sans Light"/>
          <w:sz w:val="20"/>
          <w:szCs w:val="20"/>
        </w:rPr>
        <w:t>Viterbo</w:t>
      </w:r>
      <w:r w:rsidR="00327FD5">
        <w:rPr>
          <w:rFonts w:ascii="Open Sans Light" w:hAnsi="Open Sans Light" w:cs="Open Sans Light"/>
          <w:sz w:val="20"/>
          <w:szCs w:val="20"/>
        </w:rPr>
        <w:t xml:space="preserve">) </w:t>
      </w:r>
      <w:r w:rsidR="007535F6">
        <w:rPr>
          <w:rFonts w:ascii="Open Sans Light" w:hAnsi="Open Sans Light" w:cs="Open Sans Light"/>
          <w:sz w:val="20"/>
          <w:szCs w:val="20"/>
        </w:rPr>
        <w:t>M.O. Es. 2021/2022 –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2A0FE4">
        <w:rPr>
          <w:rFonts w:ascii="Open Sans Light" w:hAnsi="Open Sans Light" w:cs="Open Sans Light"/>
          <w:sz w:val="20"/>
          <w:szCs w:val="20"/>
        </w:rPr>
        <w:t xml:space="preserve">ervizi invernali </w:t>
      </w:r>
      <w:r>
        <w:rPr>
          <w:rFonts w:ascii="Open Sans Light" w:hAnsi="Open Sans Light" w:cs="Open Sans Light"/>
          <w:sz w:val="20"/>
          <w:szCs w:val="20"/>
        </w:rPr>
        <w:t>anche notturni</w:t>
      </w:r>
      <w:r w:rsidR="007535F6">
        <w:rPr>
          <w:rFonts w:ascii="Open Sans Light" w:hAnsi="Open Sans Light" w:cs="Open Sans Light"/>
          <w:sz w:val="20"/>
          <w:szCs w:val="20"/>
        </w:rPr>
        <w:t>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327FD5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327FD5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327FD5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327FD5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327FD5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327FD5">
        <w:rPr>
          <w:rFonts w:ascii="Open Sans Light" w:hAnsi="Open Sans Light" w:cs="Open Sans Light"/>
          <w:sz w:val="20"/>
          <w:szCs w:val="20"/>
          <w:lang w:eastAsia="it-IT"/>
        </w:rPr>
        <w:t>98</w:t>
      </w:r>
      <w:r w:rsidR="00346B1E">
        <w:rPr>
          <w:rFonts w:ascii="Open Sans Light" w:hAnsi="Open Sans Light" w:cs="Open Sans Light"/>
          <w:sz w:val="20"/>
          <w:szCs w:val="20"/>
          <w:lang w:eastAsia="it-IT"/>
        </w:rPr>
        <w:t>.000,00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7535F6">
        <w:rPr>
          <w:rFonts w:ascii="Open Sans Light" w:hAnsi="Open Sans Light" w:cs="Open Sans Light"/>
          <w:bCs w:val="0"/>
          <w:sz w:val="20"/>
          <w:szCs w:val="20"/>
          <w:lang w:eastAsia="it-IT"/>
        </w:rPr>
        <w:t>4</w:t>
      </w:r>
      <w:r w:rsidR="00327FD5">
        <w:rPr>
          <w:rFonts w:ascii="Open Sans Light" w:hAnsi="Open Sans Light" w:cs="Open Sans Light"/>
          <w:bCs w:val="0"/>
          <w:sz w:val="20"/>
          <w:szCs w:val="20"/>
          <w:lang w:eastAsia="it-IT"/>
        </w:rPr>
        <w:t>2</w:t>
      </w:r>
      <w:r w:rsidR="00346B1E"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>.000</w:t>
      </w:r>
      <w:r w:rsidR="00C16B30">
        <w:rPr>
          <w:rFonts w:ascii="Open Sans Light" w:hAnsi="Open Sans Light" w:cs="Open Sans Light"/>
          <w:bCs w:val="0"/>
          <w:sz w:val="20"/>
          <w:szCs w:val="20"/>
          <w:lang w:eastAsia="it-IT"/>
        </w:rPr>
        <w:t>,00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manutenzione invernale di strade ed autostrade,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>, con indicazione dei rispettivi importi, date e destinatari, pubblici o privati (Amministrazioni od Enti pubblici, organismi di diritto pubblico ed altri soggetti pubblici o priv</w:t>
      </w:r>
      <w:bookmarkStart w:id="0" w:name="_GoBack"/>
      <w:bookmarkEnd w:id="0"/>
      <w:r w:rsidRPr="00346B1E">
        <w:rPr>
          <w:rFonts w:ascii="Open Sans Light" w:hAnsi="Open Sans Light" w:cs="Open Sans Light"/>
          <w:lang w:eastAsia="it-IT"/>
        </w:rPr>
        <w:t xml:space="preserve">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327FD5">
        <w:rPr>
          <w:rFonts w:ascii="Open Sans Light" w:hAnsi="Open Sans Light" w:cs="Open Sans Light"/>
          <w:b/>
          <w:lang w:eastAsia="it-IT"/>
        </w:rPr>
        <w:t>28</w:t>
      </w:r>
      <w:r w:rsidR="00C16B30" w:rsidRPr="00C16B30">
        <w:rPr>
          <w:rFonts w:ascii="Open Sans Light" w:hAnsi="Open Sans Light" w:cs="Open Sans Light"/>
          <w:b/>
          <w:lang w:eastAsia="it-IT"/>
        </w:rPr>
        <w:t>.000,00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346B1E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C16B30">
        <w:rPr>
          <w:rFonts w:ascii="Open Sans Light" w:hAnsi="Open Sans Light" w:cs="Open Sans Light"/>
          <w:b/>
        </w:rPr>
        <w:t>disponibilità di mezzi e attrezzature, da utilizzare in caso di aggiudicazione, in numero e caratteristiche tecniche non inferiori a quanto riportato nel CSA Norme Tecniche e CSA Norme Generali</w:t>
      </w:r>
      <w:r w:rsidRPr="00346B1E">
        <w:rPr>
          <w:rFonts w:ascii="Open Sans Light" w:hAnsi="Open Sans Light" w:cs="Open Sans Light"/>
        </w:rPr>
        <w:t xml:space="preserve">. </w:t>
      </w:r>
      <w:r w:rsidRPr="00346B1E">
        <w:rPr>
          <w:rFonts w:ascii="Open Sans Light" w:hAnsi="Open Sans Light" w:cs="Open Sans Light"/>
          <w:lang w:eastAsia="it-IT"/>
        </w:rPr>
        <w:t>Tale requisito potrà essere soddisfatto oltre che con la proprietà dei mezzi anche, a titolo esemplificativo e non esaustivo, mediante il ricorso a contratti di locazione o noleggio con soggetti terzi;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lastRenderedPageBreak/>
        <w:t>disponibilità di idonei depositi/piazzali per lo stoccaggio dei cloruri distribuiti lungo i tronchi stradali di competenza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327FD5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27FD5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5F6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4852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Vecchioni Massimiliano</cp:lastModifiedBy>
  <cp:revision>35</cp:revision>
  <cp:lastPrinted>2018-01-20T09:46:00Z</cp:lastPrinted>
  <dcterms:created xsi:type="dcterms:W3CDTF">2018-02-20T12:19:00Z</dcterms:created>
  <dcterms:modified xsi:type="dcterms:W3CDTF">2021-08-31T14:11:00Z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